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3BF2F" w14:textId="2A7AA978" w:rsidR="003F0D5C" w:rsidRPr="00EF3450" w:rsidRDefault="00EF6D21" w:rsidP="00D16BCC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8</w:t>
      </w:r>
      <w:r w:rsidR="001025AB"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.3</w:t>
      </w:r>
      <w:r w:rsidR="003F0D5C"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231A509B" w14:textId="77777777" w:rsidR="003F0D5C" w:rsidRPr="00EF3450" w:rsidRDefault="003F0D5C" w:rsidP="005C7F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EF3450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Переработка золошлаковых отходов</w:t>
      </w:r>
    </w:p>
    <w:p w14:paraId="43931EAE" w14:textId="77777777" w:rsidR="003F0D5C" w:rsidRPr="00EF3450" w:rsidRDefault="003F0D5C" w:rsidP="005C7F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E0CC0EA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Ежегодно российские электростанции производят до 25 млн. тонн отходов. Большинство золоотвалов переполнено, 72 ТЭС по существующим нормам могут быть выведены из эксплуатации.</w:t>
      </w:r>
    </w:p>
    <w:p w14:paraId="4A51CAB1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В России под золошлаковые отходы ТЭС отчуждено около 28 000 га., на которых хранится более 1,8 млрд. тонн золошлаков.</w:t>
      </w:r>
    </w:p>
    <w:p w14:paraId="3ED9C18A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В крупных городах Сибири золоотвалы расположены в непосредственной близости от ТЭЦ и зачастую их расширение невозможно из-за близости жилой застройки.</w:t>
      </w:r>
    </w:p>
    <w:p w14:paraId="42E2B1C9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Так как практически отсутствует производство оборудования для переработки золошлаков ТЭС, перерабатывается в строительные материалы менее 1 млн. тонн золы.</w:t>
      </w:r>
    </w:p>
    <w:p w14:paraId="0DCB4004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Инициаторы проекта разработали и запатентовали технологические устройства и способы переработки нетоксичных отходов промышленности и энергетики.</w:t>
      </w:r>
    </w:p>
    <w:p w14:paraId="4963A4AE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Конкурентные преимущества мобильной технологической линии:</w:t>
      </w:r>
    </w:p>
    <w:p w14:paraId="0EB18F24" w14:textId="77777777" w:rsidR="008C3B70" w:rsidRPr="00EF3450" w:rsidRDefault="008C3B70" w:rsidP="0027644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ставка налога на имущество не более 1,1% (в Московской области -0,0%)</w:t>
      </w:r>
    </w:p>
    <w:p w14:paraId="4CCD0915" w14:textId="77777777" w:rsidR="008C3B70" w:rsidRPr="00EF3450" w:rsidRDefault="008C3B70" w:rsidP="0027644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не требуют разрешения на строительство и прохождения государственной экспертизы;</w:t>
      </w:r>
    </w:p>
    <w:p w14:paraId="70E23C86" w14:textId="77777777" w:rsidR="008C3B70" w:rsidRPr="00EF3450" w:rsidRDefault="008C3B70" w:rsidP="0027644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короткий срок ввода в эксплуатацию;</w:t>
      </w:r>
    </w:p>
    <w:p w14:paraId="3238CEFA" w14:textId="77777777" w:rsidR="008C3B70" w:rsidRPr="00EF3450" w:rsidRDefault="008C3B70" w:rsidP="0027644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000000"/>
          <w:sz w:val="28"/>
          <w:szCs w:val="28"/>
        </w:rPr>
        <w:t>возможность аренды и лизинга.</w:t>
      </w:r>
    </w:p>
    <w:p w14:paraId="48690EAF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Завод (модуль) строительных материалов с полным комплектом технологического оборудования и системой автоматического управления, размещенный в габаритах 40 футового контейнера.</w:t>
      </w:r>
    </w:p>
    <w:p w14:paraId="01651C74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Мобильный завод предназначен для производства строительных материалов высокого качества из золошлаковых отходов ТЭС, общераспространенных полезных ископаемых и нетоксичных промышленных отходов, на ограниченных производственных площадях при отсутствии стационарного электро, тепло и водоснабжения.</w:t>
      </w:r>
    </w:p>
    <w:p w14:paraId="1F014F8E" w14:textId="135B4C9D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Мобильный завод обеспечивает производство:</w:t>
      </w:r>
    </w:p>
    <w:p w14:paraId="1055C405" w14:textId="77777777" w:rsidR="008C3B70" w:rsidRPr="00EF3450" w:rsidRDefault="008C3B70" w:rsidP="0027644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кирпича от 400 до 900 штук/час</w:t>
      </w:r>
    </w:p>
    <w:p w14:paraId="454DB318" w14:textId="77777777" w:rsidR="008C3B70" w:rsidRPr="00EF3450" w:rsidRDefault="008C3B70" w:rsidP="0027644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тротуарной плитки от 13,5 до 30 м2 в час</w:t>
      </w:r>
    </w:p>
    <w:p w14:paraId="50DC758C" w14:textId="77777777" w:rsidR="008C3B70" w:rsidRPr="00EF3450" w:rsidRDefault="008C3B70" w:rsidP="0027644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сухих строительных смесей до 5 тонн в час</w:t>
      </w:r>
    </w:p>
    <w:p w14:paraId="34966B81" w14:textId="77777777" w:rsidR="008C3B70" w:rsidRPr="00EF3450" w:rsidRDefault="008C3B70" w:rsidP="0027644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Товарных бетонов – до 20 м3 в час</w:t>
      </w:r>
    </w:p>
    <w:p w14:paraId="09A70012" w14:textId="77777777" w:rsidR="003F0D5C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FFFFFF"/>
          <w:sz w:val="28"/>
          <w:szCs w:val="28"/>
        </w:rPr>
        <w:lastRenderedPageBreak/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Мобильный завод позволяет перерабатывать в высококачественные строительные материалы самые разнообразные минеральные промышленные отход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ы, например: </w:t>
      </w:r>
    </w:p>
    <w:p w14:paraId="66BA5B99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отходы производства щебня из нерудных пород, </w:t>
      </w:r>
    </w:p>
    <w:p w14:paraId="1658EB1B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отходы от добычи и распила облицовочного камня, </w:t>
      </w:r>
    </w:p>
    <w:p w14:paraId="6C401B36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отходы от обогащения каменного угля (сгоревшие терриконы), </w:t>
      </w:r>
    </w:p>
    <w:p w14:paraId="7260CD7E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отходы от обогащения медных и железных руд (хвосты), </w:t>
      </w:r>
    </w:p>
    <w:p w14:paraId="06B843C0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доменные шлаки и другие отходы минеральные металлургического производства, </w:t>
      </w:r>
    </w:p>
    <w:p w14:paraId="660BE2A8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золошлаковые отходы тепловых электростанций и котельных, </w:t>
      </w:r>
    </w:p>
    <w:p w14:paraId="710332ED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отходы керамического производства (битый керамический кирпич, санфаянс и отсевы производства керамзита и пр.), </w:t>
      </w:r>
    </w:p>
    <w:p w14:paraId="22C59D85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отходы производства силикатного кирпича, </w:t>
      </w:r>
    </w:p>
    <w:p w14:paraId="1238AEB1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отходы производства бетона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>,</w:t>
      </w:r>
    </w:p>
    <w:p w14:paraId="239278B2" w14:textId="77777777" w:rsidR="003F0D5C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 xml:space="preserve">строительный мусор, образовавшийся в результате сноса зданий, </w:t>
      </w:r>
    </w:p>
    <w:p w14:paraId="452D0793" w14:textId="77777777" w:rsidR="008C3B70" w:rsidRPr="00EF3450" w:rsidRDefault="008C3B70" w:rsidP="002764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отходы добычи известняка.</w:t>
      </w:r>
    </w:p>
    <w:p w14:paraId="6B88741B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DB2A9D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Мобильная камера термовлажностной обработки бетонных изделий предназначена для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комплектования заводов по производству стеновых и дорожных материалов, размещена в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габаритах 40 (45) футового контейнера.</w:t>
      </w:r>
    </w:p>
    <w:p w14:paraId="2EFEBE26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Мобильная камера комплектуется под задачи заказчиков различными типами парогенераторов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и/или охладителей воздуха, что позволяет обеспечить заданный режим термовлажностной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обработки бетонных изделий.</w:t>
      </w:r>
    </w:p>
    <w:p w14:paraId="7DD18E0B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Полезный объем мобильной камеры не менее 68 м3.</w:t>
      </w:r>
    </w:p>
    <w:p w14:paraId="6B433ED2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Мобильная камера обеспечивает хранение и термовлажностную обработку до 20 тысяч штук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кирпича, что соответствует потребности завода по производству стеновых и дорожных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строительных материалов, мощностью до 7 млн. штук условного кирпича в год.</w:t>
      </w:r>
    </w:p>
    <w:p w14:paraId="0DCDDDD3" w14:textId="77777777" w:rsidR="008C3B70" w:rsidRPr="00EF3450" w:rsidRDefault="003F0D5C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4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C3B1E8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Производство безобжигового зольного гравия осуществляется с помощью грануляции и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последующего гидратационного твердения увлажненной смеси золы и вяжущего.</w:t>
      </w:r>
    </w:p>
    <w:p w14:paraId="478CEB58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Для изготовления безобжигового зольного гравия можно применять портландцемент, известь,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гипсовые, гипсоцементно-пуццолановые вяжущие (ГЦПВ) и использовать золы ТЭС сухого отбора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или предварительно 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>в</w:t>
      </w:r>
      <w:r w:rsidRPr="00EF3450">
        <w:rPr>
          <w:rFonts w:ascii="Times New Roman" w:hAnsi="Times New Roman" w:cs="Times New Roman"/>
          <w:bCs/>
          <w:sz w:val="28"/>
          <w:szCs w:val="28"/>
        </w:rPr>
        <w:t>ысушенные золы из отвалов (золошлаковые смеси).</w:t>
      </w:r>
    </w:p>
    <w:p w14:paraId="042D758D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Удельная поверхность зол должна быть не менее 2500 см2/г.</w:t>
      </w:r>
    </w:p>
    <w:p w14:paraId="5F0348E2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FFFF"/>
          <w:sz w:val="28"/>
          <w:szCs w:val="28"/>
        </w:rPr>
      </w:pPr>
    </w:p>
    <w:p w14:paraId="1C0FFBD1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color w:val="FFFFFF"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На основе сухой золы уноса или молотой высушенной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золошлаковой смеси с добавкой портландцемента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получают гранулы, которые подвергают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кратковременной термовлажностной обработке.</w:t>
      </w:r>
    </w:p>
    <w:p w14:paraId="2C3C421D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Насыпная плотность такого гравия 700... 950 кг/м3.</w:t>
      </w:r>
    </w:p>
    <w:p w14:paraId="1EC12D6D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Прочность до 6 МПа в 28-суточном возрасте,</w:t>
      </w:r>
    </w:p>
    <w:p w14:paraId="73F86EBC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При использовании вместо портландцемента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быстротвердеющего ГЦПВ заполнитель сразу после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грануляции приобретает достаточную прочность и не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нуждается в тепловой обработке. Насыпная плотность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зольного гравия может быть снижена введением в состав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сырьевой смеси различных облегчающих добавок: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вспученного перлитового песка, древесных опилок,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стеклопора, отходов пеностекла или газосиликата и др.</w:t>
      </w:r>
    </w:p>
    <w:p w14:paraId="1CBD0EB8" w14:textId="77777777" w:rsidR="003F0D5C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В этом случае облегчающие добавки вводят в смеситель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 xml:space="preserve">при подготовке массы к грануляции. </w:t>
      </w:r>
    </w:p>
    <w:p w14:paraId="1BEA7C64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Расход цемента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составляет 60 - 100 кг/м3. Облегченный безобжиговый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гравий (ОБЗГ) имеет насыпную плотность 400... 600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кг/м3, а прочность при сдавливании в цилиндре в сухом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3450">
        <w:rPr>
          <w:rFonts w:ascii="Times New Roman" w:hAnsi="Times New Roman" w:cs="Times New Roman"/>
          <w:bCs/>
          <w:sz w:val="28"/>
          <w:szCs w:val="28"/>
        </w:rPr>
        <w:t>состоянии — 1,0... 1,6 МПа.</w:t>
      </w:r>
      <w:r w:rsidR="003F0D5C" w:rsidRPr="00EF345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DB2D01D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Зольный гравий</w:t>
      </w:r>
    </w:p>
    <w:p w14:paraId="1FE69C76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Объемный вес 0,7-0,95 гм/см3</w:t>
      </w:r>
    </w:p>
    <w:p w14:paraId="6D0D2FFC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450">
        <w:rPr>
          <w:rFonts w:ascii="Times New Roman" w:hAnsi="Times New Roman" w:cs="Times New Roman"/>
          <w:bCs/>
          <w:sz w:val="28"/>
          <w:szCs w:val="28"/>
        </w:rPr>
        <w:t>Прочность 20-60 кг/см2</w:t>
      </w:r>
    </w:p>
    <w:p w14:paraId="2DF6BD93" w14:textId="77777777" w:rsidR="008C3B70" w:rsidRPr="00EF3450" w:rsidRDefault="008C3B70" w:rsidP="00276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F3450">
        <w:rPr>
          <w:rFonts w:ascii="Times New Roman" w:hAnsi="Times New Roman" w:cs="Times New Roman"/>
          <w:b/>
          <w:bCs/>
          <w:color w:val="FFFFFF"/>
          <w:sz w:val="56"/>
          <w:szCs w:val="56"/>
        </w:rPr>
        <w:t xml:space="preserve"> ЭКОЛОГИЧЕСКИЙ МОНИТОРИНГ</w:t>
      </w:r>
    </w:p>
    <w:p w14:paraId="6DD380F3" w14:textId="77777777" w:rsidR="004121D7" w:rsidRPr="00EF3450" w:rsidRDefault="00EF3450" w:rsidP="0027644A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4121D7" w:rsidRPr="00EF3450" w:rsidSect="005E7409">
      <w:footerReference w:type="default" r:id="rId7"/>
      <w:pgSz w:w="12240" w:h="15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97E4F" w14:textId="77777777" w:rsidR="005B79EF" w:rsidRDefault="005B79EF" w:rsidP="005E7409">
      <w:pPr>
        <w:spacing w:after="0" w:line="240" w:lineRule="auto"/>
      </w:pPr>
      <w:r>
        <w:separator/>
      </w:r>
    </w:p>
  </w:endnote>
  <w:endnote w:type="continuationSeparator" w:id="0">
    <w:p w14:paraId="3057AE90" w14:textId="77777777" w:rsidR="005B79EF" w:rsidRDefault="005B79EF" w:rsidP="005E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1090231609"/>
      <w:docPartObj>
        <w:docPartGallery w:val="Page Numbers (Bottom of Page)"/>
        <w:docPartUnique/>
      </w:docPartObj>
    </w:sdtPr>
    <w:sdtEndPr/>
    <w:sdtContent>
      <w:p w14:paraId="13F3AB16" w14:textId="06348D42" w:rsidR="005E7409" w:rsidRPr="005E7409" w:rsidRDefault="005E740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74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740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74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345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E740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5F733E7" w14:textId="77777777" w:rsidR="005E7409" w:rsidRDefault="005E74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BFE9B" w14:textId="77777777" w:rsidR="005B79EF" w:rsidRDefault="005B79EF" w:rsidP="005E7409">
      <w:pPr>
        <w:spacing w:after="0" w:line="240" w:lineRule="auto"/>
      </w:pPr>
      <w:r>
        <w:separator/>
      </w:r>
    </w:p>
  </w:footnote>
  <w:footnote w:type="continuationSeparator" w:id="0">
    <w:p w14:paraId="6C3FD3FF" w14:textId="77777777" w:rsidR="005B79EF" w:rsidRDefault="005B79EF" w:rsidP="005E7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7394"/>
    <w:multiLevelType w:val="hybridMultilevel"/>
    <w:tmpl w:val="9F6EEA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7F2D8B"/>
    <w:multiLevelType w:val="hybridMultilevel"/>
    <w:tmpl w:val="BA3C2D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580C32"/>
    <w:multiLevelType w:val="hybridMultilevel"/>
    <w:tmpl w:val="1A661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70"/>
    <w:rsid w:val="00003D7F"/>
    <w:rsid w:val="001025AB"/>
    <w:rsid w:val="0027644A"/>
    <w:rsid w:val="003F0D5C"/>
    <w:rsid w:val="00407D64"/>
    <w:rsid w:val="004921C9"/>
    <w:rsid w:val="005B79EF"/>
    <w:rsid w:val="005C7F5A"/>
    <w:rsid w:val="005E7409"/>
    <w:rsid w:val="007C7A83"/>
    <w:rsid w:val="008C3B70"/>
    <w:rsid w:val="00D16BCC"/>
    <w:rsid w:val="00E511F5"/>
    <w:rsid w:val="00EF3450"/>
    <w:rsid w:val="00EF6D21"/>
    <w:rsid w:val="00F7509F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09F213"/>
  <w15:docId w15:val="{5F4D6A15-D0BE-4B9B-8D7D-3CDE5C81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B7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7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7409"/>
  </w:style>
  <w:style w:type="paragraph" w:styleId="a6">
    <w:name w:val="footer"/>
    <w:basedOn w:val="a"/>
    <w:link w:val="a7"/>
    <w:uiPriority w:val="99"/>
    <w:unhideWhenUsed/>
    <w:rsid w:val="005E7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7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Войкова Диана Викторовна</cp:lastModifiedBy>
  <cp:revision>10</cp:revision>
  <dcterms:created xsi:type="dcterms:W3CDTF">2019-11-12T07:42:00Z</dcterms:created>
  <dcterms:modified xsi:type="dcterms:W3CDTF">2024-07-12T11:17:00Z</dcterms:modified>
</cp:coreProperties>
</file>